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center"/>
        <w:textAlignment w:val="auto"/>
        <w:rPr>
          <w:rFonts w:hint="eastAsia" w:ascii="宋体" w:hAnsi="宋体" w:eastAsia="方正小标宋_GBK"/>
          <w:color w:val="auto"/>
          <w:sz w:val="44"/>
          <w:szCs w:val="44"/>
        </w:rPr>
      </w:pPr>
      <w:r>
        <w:rPr>
          <w:rFonts w:hint="eastAsia" w:ascii="宋体" w:hAnsi="宋体" w:eastAsia="方正小标宋_GBK"/>
          <w:color w:val="auto"/>
          <w:sz w:val="44"/>
          <w:szCs w:val="44"/>
        </w:rPr>
        <w:t>中央、省级、市级主要党报党刊认定目录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center"/>
        <w:textAlignment w:val="auto"/>
        <w:rPr>
          <w:rFonts w:hint="eastAsia" w:ascii="宋体" w:hAnsi="宋体" w:eastAsia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  <w:lang w:eastAsia="zh-CN"/>
        </w:rPr>
        <w:t>一、</w:t>
      </w:r>
      <w:r>
        <w:rPr>
          <w:rFonts w:hint="eastAsia" w:ascii="宋体" w:hAnsi="宋体" w:eastAsia="黑体"/>
          <w:color w:val="auto"/>
          <w:sz w:val="32"/>
          <w:szCs w:val="32"/>
        </w:rPr>
        <w:t>中央主要</w:t>
      </w:r>
      <w:r>
        <w:rPr>
          <w:rFonts w:hint="eastAsia" w:ascii="宋体" w:hAnsi="宋体" w:eastAsia="黑体" w:cs="Times New Roman"/>
          <w:color w:val="auto"/>
          <w:sz w:val="32"/>
          <w:szCs w:val="32"/>
        </w:rPr>
        <w:t>党报</w:t>
      </w:r>
      <w:r>
        <w:rPr>
          <w:rFonts w:hint="eastAsia" w:ascii="宋体" w:hAnsi="宋体" w:eastAsia="黑体"/>
          <w:color w:val="auto"/>
          <w:sz w:val="32"/>
          <w:szCs w:val="32"/>
        </w:rPr>
        <w:t>党刊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人民日报、求是杂志、光明日报、经济日报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  <w:lang w:eastAsia="zh-CN"/>
        </w:rPr>
        <w:t>二、</w:t>
      </w:r>
      <w:r>
        <w:rPr>
          <w:rFonts w:hint="eastAsia" w:ascii="宋体" w:hAnsi="宋体" w:eastAsia="黑体"/>
          <w:color w:val="auto"/>
          <w:sz w:val="32"/>
          <w:szCs w:val="32"/>
        </w:rPr>
        <w:t>省级主要党报党刊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湖南日报、新湘评论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</w:rPr>
        <w:t>三、市级主要党报党刊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</w:pPr>
      <w:r>
        <w:rPr>
          <w:rFonts w:hint="eastAsia" w:ascii="宋体" w:hAnsi="宋体" w:eastAsia="仿宋_GB2312"/>
          <w:color w:val="auto"/>
          <w:sz w:val="32"/>
          <w:szCs w:val="32"/>
        </w:rPr>
        <w:t>邵阳日报、邵阳工作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F1660"/>
    <w:rsid w:val="13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2020-08-04T01:49:00Z</dcterms:created>
  <dc:creator>澄泉</dc:creator>
  <cp:lastModifiedBy>澄泉</cp:lastModifiedBy>
  <dcterms:modified xsi:type="dcterms:W3CDTF">2020-08-04T01:51:18Z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